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CB94469" w:rsidR="00A209D6" w:rsidRPr="00B266B0" w:rsidRDefault="00A209D6" w:rsidP="001321AE">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EC1106">
        <w:rPr>
          <w:bCs/>
          <w:noProof w:val="0"/>
          <w:sz w:val="24"/>
          <w:szCs w:val="24"/>
        </w:rPr>
        <w:t>4998</w:t>
      </w:r>
    </w:p>
    <w:p w14:paraId="11776FA6" w14:textId="46D2A76D" w:rsidR="00A209D6" w:rsidRPr="00465587" w:rsidRDefault="009928A9" w:rsidP="001321AE">
      <w:pPr>
        <w:pStyle w:val="Header"/>
        <w:tabs>
          <w:tab w:val="right" w:pos="9639"/>
        </w:tabs>
        <w:jc w:val="both"/>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1321AE">
      <w:pPr>
        <w:pStyle w:val="Header"/>
        <w:jc w:val="both"/>
        <w:rPr>
          <w:bCs/>
          <w:noProof w:val="0"/>
          <w:sz w:val="24"/>
        </w:rPr>
      </w:pPr>
    </w:p>
    <w:p w14:paraId="403CB9C0" w14:textId="77777777" w:rsidR="00A209D6" w:rsidRPr="00B266B0" w:rsidRDefault="00A209D6" w:rsidP="001321AE">
      <w:pPr>
        <w:pStyle w:val="Header"/>
        <w:jc w:val="both"/>
        <w:rPr>
          <w:bCs/>
          <w:noProof w:val="0"/>
          <w:sz w:val="24"/>
        </w:rPr>
      </w:pPr>
    </w:p>
    <w:p w14:paraId="74AEDB1B" w14:textId="4F36627B" w:rsidR="00A209D6" w:rsidRPr="00B266B0" w:rsidRDefault="00A209D6" w:rsidP="001321A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BD6943">
        <w:rPr>
          <w:rFonts w:cs="Arial"/>
          <w:b/>
          <w:bCs/>
          <w:sz w:val="24"/>
          <w:lang w:eastAsia="ja-JP"/>
        </w:rPr>
        <w:t>8</w:t>
      </w:r>
      <w:r>
        <w:rPr>
          <w:rFonts w:cs="Arial"/>
          <w:b/>
          <w:bCs/>
          <w:sz w:val="24"/>
          <w:lang w:eastAsia="ja-JP"/>
        </w:rPr>
        <w:t>.</w:t>
      </w:r>
      <w:r w:rsidR="00BD6943">
        <w:rPr>
          <w:rFonts w:cs="Arial"/>
          <w:b/>
          <w:bCs/>
          <w:sz w:val="24"/>
          <w:lang w:eastAsia="ja-JP"/>
        </w:rPr>
        <w:t>2</w:t>
      </w:r>
      <w:r>
        <w:rPr>
          <w:rFonts w:cs="Arial"/>
          <w:b/>
          <w:bCs/>
          <w:sz w:val="24"/>
          <w:lang w:eastAsia="ja-JP"/>
        </w:rPr>
        <w:t>.</w:t>
      </w:r>
      <w:r w:rsidR="00BD6943">
        <w:rPr>
          <w:rFonts w:cs="Arial"/>
          <w:b/>
          <w:bCs/>
          <w:sz w:val="24"/>
          <w:lang w:eastAsia="ja-JP"/>
        </w:rPr>
        <w:t>3</w:t>
      </w:r>
      <w:r w:rsidR="00CE28F5">
        <w:rPr>
          <w:rFonts w:cs="Arial"/>
          <w:b/>
          <w:bCs/>
          <w:sz w:val="24"/>
          <w:lang w:eastAsia="ja-JP"/>
        </w:rPr>
        <w:t>.</w:t>
      </w:r>
      <w:r w:rsidR="0017597D">
        <w:rPr>
          <w:rFonts w:cs="Arial"/>
          <w:b/>
          <w:bCs/>
          <w:sz w:val="24"/>
          <w:lang w:eastAsia="ja-JP"/>
        </w:rPr>
        <w:t>1</w:t>
      </w:r>
    </w:p>
    <w:p w14:paraId="73188B46" w14:textId="77777777" w:rsidR="00A209D6" w:rsidRPr="00B266B0" w:rsidRDefault="00A209D6" w:rsidP="001321A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06B737" w:rsidR="00A209D6" w:rsidRDefault="00A209D6" w:rsidP="001321A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6708">
        <w:rPr>
          <w:rFonts w:ascii="Arial" w:hAnsi="Arial" w:cs="Arial"/>
          <w:b/>
          <w:bCs/>
          <w:sz w:val="24"/>
        </w:rPr>
        <w:t xml:space="preserve">Discussion on </w:t>
      </w:r>
      <w:r w:rsidR="00B172E8">
        <w:rPr>
          <w:rFonts w:ascii="Arial" w:hAnsi="Arial" w:cs="Arial"/>
          <w:b/>
          <w:bCs/>
          <w:sz w:val="24"/>
        </w:rPr>
        <w:t>RAN3 LS on CPAC</w:t>
      </w:r>
    </w:p>
    <w:p w14:paraId="1F147C23" w14:textId="6098538E" w:rsidR="00A209D6" w:rsidRPr="00B266B0" w:rsidRDefault="00A209D6" w:rsidP="001321A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BD6943" w:rsidRPr="00BD6943">
        <w:rPr>
          <w:rFonts w:ascii="Arial" w:hAnsi="Arial" w:cs="Arial"/>
          <w:b/>
          <w:bCs/>
          <w:sz w:val="24"/>
        </w:rPr>
        <w:t>LTE_NR_DC_enh2-Core</w:t>
      </w:r>
      <w:r w:rsidRPr="00112F1A">
        <w:rPr>
          <w:rFonts w:ascii="Arial" w:hAnsi="Arial" w:cs="Arial"/>
          <w:b/>
          <w:bCs/>
          <w:sz w:val="24"/>
        </w:rPr>
        <w:t xml:space="preserve"> </w:t>
      </w:r>
      <w:r>
        <w:rPr>
          <w:rFonts w:ascii="Arial" w:hAnsi="Arial" w:cs="Arial"/>
          <w:b/>
          <w:bCs/>
          <w:sz w:val="24"/>
        </w:rPr>
        <w:t xml:space="preserve">- Release </w:t>
      </w:r>
      <w:r w:rsidR="00BD6943">
        <w:rPr>
          <w:rFonts w:ascii="Arial" w:hAnsi="Arial" w:cs="Arial"/>
          <w:b/>
          <w:bCs/>
          <w:sz w:val="24"/>
        </w:rPr>
        <w:t>17</w:t>
      </w:r>
    </w:p>
    <w:p w14:paraId="6FEB19D6" w14:textId="77777777" w:rsidR="00A209D6" w:rsidRPr="00B266B0" w:rsidRDefault="00A209D6" w:rsidP="001321A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1321AE">
      <w:pPr>
        <w:pStyle w:val="Heading1"/>
        <w:jc w:val="both"/>
      </w:pPr>
      <w:r w:rsidRPr="006E13D1">
        <w:t>1</w:t>
      </w:r>
      <w:r w:rsidRPr="006E13D1">
        <w:tab/>
      </w:r>
      <w:r>
        <w:t>Introduction</w:t>
      </w:r>
    </w:p>
    <w:p w14:paraId="31EC6E66" w14:textId="659DB4BF" w:rsidR="007F2E08" w:rsidRDefault="00B172E8" w:rsidP="001321AE">
      <w:pPr>
        <w:jc w:val="both"/>
      </w:pPr>
      <w:r>
        <w:t>RAN3 sent the LS to RAN2 in [1]. Unfortunately, at</w:t>
      </w:r>
      <w:r w:rsidR="00CC2D4A">
        <w:t xml:space="preserve"> RAN2#113bis</w:t>
      </w:r>
      <w:r>
        <w:t xml:space="preserve"> it was not possible to handle the LS and try to respond to RAN3 questions. This paper is an attempt to resolve the doubts RAN3 has expressed in [1].</w:t>
      </w:r>
    </w:p>
    <w:p w14:paraId="4F547731" w14:textId="3B6930E0" w:rsidR="00A209D6" w:rsidRPr="006E13D1" w:rsidRDefault="00A209D6" w:rsidP="001321AE">
      <w:pPr>
        <w:pStyle w:val="Heading1"/>
        <w:jc w:val="both"/>
      </w:pPr>
      <w:r w:rsidRPr="006E13D1">
        <w:t>2</w:t>
      </w:r>
      <w:r w:rsidRPr="006E13D1">
        <w:tab/>
      </w:r>
      <w:r w:rsidR="004F2733">
        <w:t>Discussion</w:t>
      </w:r>
    </w:p>
    <w:p w14:paraId="5F01C058" w14:textId="019627E5" w:rsidR="00A209D6" w:rsidRPr="006E13D1" w:rsidRDefault="00B7538C" w:rsidP="001321AE">
      <w:pPr>
        <w:pStyle w:val="Heading2"/>
        <w:jc w:val="both"/>
      </w:pPr>
      <w:r>
        <w:t>2</w:t>
      </w:r>
      <w:r w:rsidR="00A209D6" w:rsidRPr="006E13D1">
        <w:t>.1</w:t>
      </w:r>
      <w:r w:rsidR="00A209D6" w:rsidRPr="006E13D1">
        <w:tab/>
      </w:r>
      <w:r w:rsidR="00B172E8">
        <w:t>On the number of inter-node RRC containers</w:t>
      </w:r>
    </w:p>
    <w:p w14:paraId="4A998ACC" w14:textId="77777777" w:rsidR="00B172E8" w:rsidRDefault="003F5BE2" w:rsidP="001321AE">
      <w:pPr>
        <w:jc w:val="both"/>
      </w:pPr>
      <w:r>
        <w:t xml:space="preserve">One of </w:t>
      </w:r>
      <w:r w:rsidR="00B172E8">
        <w:t>the doubts raised by RAN3 in [1] concerned the use of inter-node RRC containers, as per the following question:</w:t>
      </w:r>
    </w:p>
    <w:tbl>
      <w:tblPr>
        <w:tblStyle w:val="TableGrid"/>
        <w:tblW w:w="0" w:type="auto"/>
        <w:tblLook w:val="04A0" w:firstRow="1" w:lastRow="0" w:firstColumn="1" w:lastColumn="0" w:noHBand="0" w:noVBand="1"/>
      </w:tblPr>
      <w:tblGrid>
        <w:gridCol w:w="9631"/>
      </w:tblGrid>
      <w:tr w:rsidR="00B172E8" w14:paraId="11298473" w14:textId="77777777" w:rsidTr="00B172E8">
        <w:tc>
          <w:tcPr>
            <w:tcW w:w="9631" w:type="dxa"/>
          </w:tcPr>
          <w:p w14:paraId="7372AB7B" w14:textId="51DADEF5" w:rsidR="00B172E8" w:rsidRDefault="00B172E8" w:rsidP="001321AE">
            <w:pPr>
              <w:jc w:val="both"/>
            </w:pPr>
            <w:r w:rsidRPr="00B172E8">
              <w:t>-</w:t>
            </w:r>
            <w:r w:rsidRPr="00B172E8">
              <w:tab/>
              <w:t xml:space="preserve">In case multiple </w:t>
            </w:r>
            <w:proofErr w:type="spellStart"/>
            <w:r w:rsidRPr="00B172E8">
              <w:t>PSCells</w:t>
            </w:r>
            <w:proofErr w:type="spellEnd"/>
            <w:r w:rsidRPr="00B172E8">
              <w:t xml:space="preserve"> are prepared in one CPAC procedure, RAN3 would like to ask RAN2 to feedback on the inter-node RRC container design: will one RRC container for one </w:t>
            </w:r>
            <w:proofErr w:type="spellStart"/>
            <w:r w:rsidRPr="00B172E8">
              <w:t>PSCell</w:t>
            </w:r>
            <w:proofErr w:type="spellEnd"/>
            <w:r w:rsidRPr="00B172E8">
              <w:t xml:space="preserve"> be used, or one RRC container for multiple </w:t>
            </w:r>
            <w:proofErr w:type="spellStart"/>
            <w:r w:rsidRPr="00B172E8">
              <w:t>PSCells</w:t>
            </w:r>
            <w:proofErr w:type="spellEnd"/>
            <w:r w:rsidRPr="00B172E8">
              <w:t>?</w:t>
            </w:r>
          </w:p>
        </w:tc>
      </w:tr>
    </w:tbl>
    <w:p w14:paraId="7AF498BB" w14:textId="2BBEB938" w:rsidR="009862EB" w:rsidRDefault="00891BE0" w:rsidP="001321AE">
      <w:pPr>
        <w:jc w:val="both"/>
      </w:pPr>
      <w:r>
        <w:rPr>
          <w:b/>
          <w:bCs/>
        </w:rPr>
        <w:br/>
      </w:r>
      <w:r w:rsidR="004C4717" w:rsidRPr="004C4717">
        <w:t xml:space="preserve">In our understanding using a separate container for each CPC configuration would be more aligned with the legacy specification. It also provides more flexibility in case any updates are needed before the execution of CPAC, i.e. there would be no need to send the entire container, comprising the configurations for other candidate </w:t>
      </w:r>
      <w:proofErr w:type="spellStart"/>
      <w:r w:rsidR="004C4717" w:rsidRPr="004C4717">
        <w:t>PSCells</w:t>
      </w:r>
      <w:proofErr w:type="spellEnd"/>
      <w:r w:rsidR="004C4717" w:rsidRPr="004C4717">
        <w:t xml:space="preserve">, for which nothing is to be modified. </w:t>
      </w:r>
      <w:r w:rsidR="00B00EBA">
        <w:t xml:space="preserve">Additionally, such approach allows to follow the structure already used for </w:t>
      </w:r>
      <w:r w:rsidR="00206562">
        <w:t>conditional reconfiguration</w:t>
      </w:r>
      <w:r w:rsidR="00D64195">
        <w:t>,</w:t>
      </w:r>
      <w:r w:rsidR="00206562">
        <w:t xml:space="preserve"> where an identifier links the condition and the container with the configuration to be applied if the condition is fulfilled. </w:t>
      </w:r>
    </w:p>
    <w:p w14:paraId="4CE742D1" w14:textId="0317F6DF" w:rsidR="00206562" w:rsidRPr="008005ED" w:rsidRDefault="00206562" w:rsidP="001321AE">
      <w:pPr>
        <w:jc w:val="both"/>
        <w:rPr>
          <w:b/>
          <w:bCs/>
        </w:rPr>
      </w:pPr>
      <w:r w:rsidRPr="008005ED">
        <w:rPr>
          <w:b/>
          <w:bCs/>
        </w:rPr>
        <w:t>Observation 1:</w:t>
      </w:r>
      <w:r w:rsidR="008005ED">
        <w:rPr>
          <w:b/>
          <w:bCs/>
        </w:rPr>
        <w:t xml:space="preserve"> </w:t>
      </w:r>
      <w:r w:rsidR="008005ED" w:rsidRPr="008005ED">
        <w:rPr>
          <w:b/>
          <w:bCs/>
        </w:rPr>
        <w:t>U</w:t>
      </w:r>
      <w:r w:rsidR="008005ED">
        <w:rPr>
          <w:b/>
          <w:bCs/>
        </w:rPr>
        <w:t>s</w:t>
      </w:r>
      <w:r w:rsidR="008005ED" w:rsidRPr="008005ED">
        <w:rPr>
          <w:b/>
          <w:bCs/>
        </w:rPr>
        <w:t>ing separate containers for each CPC configuration is more flexible and follows the legacy conditional reconfiguration principles, where identifier links the condition and the container with the configuration to be applied if the condition is fulfilled.</w:t>
      </w:r>
    </w:p>
    <w:p w14:paraId="79E7D03F" w14:textId="1B97709B" w:rsidR="00206562" w:rsidRDefault="00206562" w:rsidP="001321AE">
      <w:pPr>
        <w:jc w:val="both"/>
      </w:pPr>
      <w:r>
        <w:t>Due to the reasons outlined above, we propose the following:</w:t>
      </w:r>
    </w:p>
    <w:p w14:paraId="1BC7A7E7" w14:textId="3DDAF1A9" w:rsidR="00206562" w:rsidRPr="008005ED" w:rsidRDefault="00206562" w:rsidP="001321AE">
      <w:pPr>
        <w:jc w:val="both"/>
        <w:rPr>
          <w:b/>
          <w:bCs/>
        </w:rPr>
      </w:pPr>
      <w:r w:rsidRPr="008005ED">
        <w:rPr>
          <w:b/>
          <w:bCs/>
        </w:rPr>
        <w:t xml:space="preserve">Proposal 1: </w:t>
      </w:r>
      <w:r w:rsidR="008005ED" w:rsidRPr="008005ED">
        <w:rPr>
          <w:b/>
          <w:bCs/>
        </w:rPr>
        <w:t xml:space="preserve">RAN2 concludes that in case multiple </w:t>
      </w:r>
      <w:proofErr w:type="spellStart"/>
      <w:r w:rsidR="008005ED" w:rsidRPr="008005ED">
        <w:rPr>
          <w:b/>
          <w:bCs/>
        </w:rPr>
        <w:t>PSCells</w:t>
      </w:r>
      <w:proofErr w:type="spellEnd"/>
      <w:r w:rsidR="008005ED" w:rsidRPr="008005ED">
        <w:rPr>
          <w:b/>
          <w:bCs/>
        </w:rPr>
        <w:t xml:space="preserve"> are prepared in one CPAC procedure, a separate RRC container is used for each </w:t>
      </w:r>
      <w:proofErr w:type="spellStart"/>
      <w:r w:rsidR="008005ED" w:rsidRPr="008005ED">
        <w:rPr>
          <w:b/>
          <w:bCs/>
        </w:rPr>
        <w:t>PSCell</w:t>
      </w:r>
      <w:proofErr w:type="spellEnd"/>
      <w:r w:rsidR="008005ED" w:rsidRPr="008005ED">
        <w:rPr>
          <w:b/>
          <w:bCs/>
        </w:rPr>
        <w:t xml:space="preserve"> configuration.</w:t>
      </w:r>
    </w:p>
    <w:p w14:paraId="7098F90D" w14:textId="69FF79EF" w:rsidR="00A209D6" w:rsidRPr="006E13D1" w:rsidRDefault="00B7538C" w:rsidP="001321AE">
      <w:pPr>
        <w:pStyle w:val="Heading2"/>
        <w:jc w:val="both"/>
      </w:pPr>
      <w:r>
        <w:t>2</w:t>
      </w:r>
      <w:r w:rsidR="00A209D6" w:rsidRPr="006E13D1">
        <w:t>.2</w:t>
      </w:r>
      <w:r w:rsidR="00A209D6" w:rsidRPr="006E13D1">
        <w:tab/>
      </w:r>
      <w:r w:rsidR="00891BE0">
        <w:t>On associating the execution condition with the RRC configuration</w:t>
      </w:r>
    </w:p>
    <w:p w14:paraId="3B062CA2" w14:textId="3E6C5396" w:rsidR="00891BE0" w:rsidRDefault="00446D87" w:rsidP="001321AE">
      <w:pPr>
        <w:jc w:val="both"/>
      </w:pPr>
      <w:r>
        <w:t>Another</w:t>
      </w:r>
      <w:r w:rsidR="005B10B8">
        <w:t xml:space="preserve"> question raised by RAN3 in [1] concerns the association between the condition and the configuration, i.e. which entity shall be responsible for taking such step [1]:</w:t>
      </w:r>
    </w:p>
    <w:tbl>
      <w:tblPr>
        <w:tblStyle w:val="TableGrid"/>
        <w:tblW w:w="0" w:type="auto"/>
        <w:tblLook w:val="04A0" w:firstRow="1" w:lastRow="0" w:firstColumn="1" w:lastColumn="0" w:noHBand="0" w:noVBand="1"/>
      </w:tblPr>
      <w:tblGrid>
        <w:gridCol w:w="9631"/>
      </w:tblGrid>
      <w:tr w:rsidR="00891BE0" w14:paraId="624F17FC" w14:textId="77777777" w:rsidTr="00891BE0">
        <w:tc>
          <w:tcPr>
            <w:tcW w:w="9631" w:type="dxa"/>
          </w:tcPr>
          <w:p w14:paraId="4087F146" w14:textId="77777777" w:rsidR="00891BE0" w:rsidRDefault="00891BE0" w:rsidP="001321AE">
            <w:pPr>
              <w:jc w:val="both"/>
            </w:pPr>
            <w:r>
              <w:t>-</w:t>
            </w:r>
            <w:r>
              <w:tab/>
              <w:t xml:space="preserve">Alternative 1: MN performs the association between the execution condition received from the source SN and the RRC configuration of the candidate </w:t>
            </w:r>
            <w:proofErr w:type="spellStart"/>
            <w:r>
              <w:t>PSCell</w:t>
            </w:r>
            <w:proofErr w:type="spellEnd"/>
            <w:r>
              <w:t xml:space="preserve"> received from the candidate SN. </w:t>
            </w:r>
          </w:p>
          <w:p w14:paraId="7B395A6E" w14:textId="3A3FDD14" w:rsidR="00891BE0" w:rsidRDefault="00891BE0" w:rsidP="001321AE">
            <w:pPr>
              <w:jc w:val="both"/>
            </w:pPr>
            <w:r>
              <w:t>-</w:t>
            </w:r>
            <w:r>
              <w:tab/>
              <w:t xml:space="preserve">Alternative 2: MN forwards the execution condition received from the source SN to the candidate SN. The candidate SN sends the execution condition and the RRC configuration of the candidate </w:t>
            </w:r>
            <w:proofErr w:type="spellStart"/>
            <w:r>
              <w:t>PSCell</w:t>
            </w:r>
            <w:proofErr w:type="spellEnd"/>
            <w:r>
              <w:t xml:space="preserve"> to the MN.</w:t>
            </w:r>
          </w:p>
        </w:tc>
      </w:tr>
    </w:tbl>
    <w:p w14:paraId="2CF33B71" w14:textId="77777777" w:rsidR="008D106C" w:rsidRDefault="007A7E07" w:rsidP="001321AE">
      <w:pPr>
        <w:jc w:val="both"/>
      </w:pPr>
      <w:r w:rsidRPr="007A7E07">
        <w:lastRenderedPageBreak/>
        <w:t>In our</w:t>
      </w:r>
      <w:r>
        <w:t xml:space="preserve"> opinion both alternatives may work and each has certain benefits. Alternative 2, for example, would prevent the situation where the UE is provided the execution conditions for cells without the RRC configuration.</w:t>
      </w:r>
    </w:p>
    <w:p w14:paraId="408FB627" w14:textId="207E65A4" w:rsidR="008D106C" w:rsidRPr="008D106C" w:rsidRDefault="008D106C" w:rsidP="001321AE">
      <w:pPr>
        <w:jc w:val="both"/>
        <w:rPr>
          <w:b/>
          <w:bCs/>
        </w:rPr>
      </w:pPr>
      <w:r w:rsidRPr="008D106C">
        <w:rPr>
          <w:b/>
          <w:bCs/>
        </w:rPr>
        <w:t xml:space="preserve">Observation 2: Alternative 2 from R3-211338 allows to avoid the case where the UE is provided </w:t>
      </w:r>
      <w:r>
        <w:rPr>
          <w:b/>
          <w:bCs/>
        </w:rPr>
        <w:t>with execution conditions for cells which are not accepted by the target SN</w:t>
      </w:r>
      <w:r w:rsidR="00496870">
        <w:rPr>
          <w:b/>
          <w:bCs/>
        </w:rPr>
        <w:t>.</w:t>
      </w:r>
    </w:p>
    <w:p w14:paraId="0BB6B91A" w14:textId="76D7EAFD" w:rsidR="007A7E07" w:rsidRDefault="007A7E07" w:rsidP="001321AE">
      <w:pPr>
        <w:jc w:val="both"/>
      </w:pPr>
      <w:r>
        <w:t>However, at RAN2</w:t>
      </w:r>
      <w:r w:rsidR="0077564E">
        <w:t>#</w:t>
      </w:r>
      <w:r>
        <w:t>11</w:t>
      </w:r>
      <w:r w:rsidR="001321AE">
        <w:t>2</w:t>
      </w:r>
      <w:r>
        <w:t xml:space="preserve"> meeting, the following agreement</w:t>
      </w:r>
      <w:r w:rsidR="008D106C">
        <w:t>s</w:t>
      </w:r>
      <w:r>
        <w:t xml:space="preserve"> w</w:t>
      </w:r>
      <w:r w:rsidR="0077564E">
        <w:t>ere</w:t>
      </w:r>
      <w:r>
        <w:t xml:space="preserve"> taken</w:t>
      </w:r>
      <w:r w:rsidR="0077564E">
        <w:t xml:space="preserve"> [2]</w:t>
      </w:r>
      <w:r>
        <w:t>:</w:t>
      </w:r>
    </w:p>
    <w:tbl>
      <w:tblPr>
        <w:tblStyle w:val="TableGrid"/>
        <w:tblW w:w="0" w:type="auto"/>
        <w:tblLook w:val="04A0" w:firstRow="1" w:lastRow="0" w:firstColumn="1" w:lastColumn="0" w:noHBand="0" w:noVBand="1"/>
      </w:tblPr>
      <w:tblGrid>
        <w:gridCol w:w="9631"/>
      </w:tblGrid>
      <w:tr w:rsidR="007A7E07" w14:paraId="07A78076" w14:textId="77777777" w:rsidTr="007A7E07">
        <w:tc>
          <w:tcPr>
            <w:tcW w:w="9631" w:type="dxa"/>
          </w:tcPr>
          <w:p w14:paraId="702342A6" w14:textId="5300D635" w:rsidR="007A7E07" w:rsidRDefault="008D106C" w:rsidP="001321AE">
            <w:pPr>
              <w:jc w:val="both"/>
            </w:pPr>
            <w:r>
              <w:t xml:space="preserve">1. </w:t>
            </w:r>
            <w:r w:rsidR="0077564E" w:rsidRPr="0077564E">
              <w:t xml:space="preserve">The MN generates CPC. The source SN sets the execution condition and communicates it to the MN. The MN generates the conditional reconfiguration message including the execution condition(s) provided by the source SN and </w:t>
            </w:r>
            <w:proofErr w:type="spellStart"/>
            <w:r w:rsidR="0077564E" w:rsidRPr="0077564E">
              <w:t>RRCReconfiguration</w:t>
            </w:r>
            <w:proofErr w:type="spellEnd"/>
            <w:r w:rsidR="0077564E" w:rsidRPr="0077564E">
              <w:t xml:space="preserve"> provided by the candidate </w:t>
            </w:r>
            <w:proofErr w:type="spellStart"/>
            <w:r w:rsidR="0077564E" w:rsidRPr="0077564E">
              <w:t>PSCell</w:t>
            </w:r>
            <w:proofErr w:type="spellEnd"/>
            <w:r w:rsidR="0077564E" w:rsidRPr="0077564E">
              <w:t>(s).</w:t>
            </w:r>
          </w:p>
          <w:p w14:paraId="5ECA0826" w14:textId="180FCA71" w:rsidR="0077564E" w:rsidRDefault="008D106C" w:rsidP="001321AE">
            <w:pPr>
              <w:jc w:val="both"/>
            </w:pPr>
            <w:r>
              <w:t xml:space="preserve">2. </w:t>
            </w:r>
            <w:r w:rsidR="0077564E" w:rsidRPr="0077564E">
              <w:t>In MN initiated inter-SN CPC and CPA, the MN is not required to indicate the execution condition(s) to other involved entities (e.g. target SN, source SN).</w:t>
            </w:r>
          </w:p>
        </w:tc>
      </w:tr>
    </w:tbl>
    <w:p w14:paraId="558CC933" w14:textId="176E0AB0" w:rsidR="001321AE" w:rsidRDefault="0077564E" w:rsidP="001321AE">
      <w:pPr>
        <w:jc w:val="both"/>
      </w:pPr>
      <w:r>
        <w:br/>
        <w:t xml:space="preserve">The first agreement in the box above states the MN is responsible for generating the conditional reconfiguration message. If that means </w:t>
      </w:r>
      <w:r w:rsidR="008D106C">
        <w:t>associating</w:t>
      </w:r>
      <w:r>
        <w:t xml:space="preserve"> the execution condition </w:t>
      </w:r>
      <w:r w:rsidR="008D106C">
        <w:t>with the configuration, then clearly RAN2 has already decided to choose Alternative 1.</w:t>
      </w:r>
    </w:p>
    <w:p w14:paraId="029BE7F4" w14:textId="1B8620A4" w:rsidR="001321AE" w:rsidRPr="001321AE" w:rsidRDefault="001321AE" w:rsidP="001321AE">
      <w:pPr>
        <w:jc w:val="both"/>
        <w:rPr>
          <w:b/>
          <w:bCs/>
        </w:rPr>
      </w:pPr>
      <w:r w:rsidRPr="001321AE">
        <w:rPr>
          <w:b/>
          <w:bCs/>
        </w:rPr>
        <w:t xml:space="preserve">Proposal 2: RAN2 is asked to discuss and confirm if Alternative 1 from R3-211338 is equivalent to ‘’…the MN generates the conditional reconfiguration message including the execution condition(s) provided by the source SN and </w:t>
      </w:r>
      <w:proofErr w:type="spellStart"/>
      <w:r w:rsidRPr="001321AE">
        <w:rPr>
          <w:b/>
          <w:bCs/>
        </w:rPr>
        <w:t>RRCReconfiguration</w:t>
      </w:r>
      <w:proofErr w:type="spellEnd"/>
      <w:r w:rsidRPr="001321AE">
        <w:rPr>
          <w:b/>
          <w:bCs/>
        </w:rPr>
        <w:t xml:space="preserve"> provided by the candidate </w:t>
      </w:r>
      <w:proofErr w:type="spellStart"/>
      <w:r w:rsidRPr="001321AE">
        <w:rPr>
          <w:b/>
          <w:bCs/>
        </w:rPr>
        <w:t>PSCell</w:t>
      </w:r>
      <w:proofErr w:type="spellEnd"/>
      <w:r w:rsidRPr="001321AE">
        <w:rPr>
          <w:b/>
          <w:bCs/>
        </w:rPr>
        <w:t>…’’.</w:t>
      </w:r>
    </w:p>
    <w:p w14:paraId="6063B8AB" w14:textId="34AA79C2" w:rsidR="009B12C0" w:rsidRDefault="008D106C" w:rsidP="001321AE">
      <w:pPr>
        <w:jc w:val="both"/>
      </w:pPr>
      <w:r>
        <w:t xml:space="preserve">In addition, second agreement in the box above states that at least for MN-initiated CPC and CPA, the MN is not required to indicate the execution conditions to </w:t>
      </w:r>
      <w:r w:rsidR="001D17CC">
        <w:t xml:space="preserve">other nodes. The question in RAN3 LS was likely only considering the SN-initiated CPC, so the aforementioned agreement may not be binding here. Especially, as the text of the agreement is also not </w:t>
      </w:r>
      <w:r w:rsidR="009B12C0">
        <w:t xml:space="preserve">sharp enough (i.e. </w:t>
      </w:r>
      <w:r w:rsidR="001321AE">
        <w:t>‘’</w:t>
      </w:r>
      <w:r w:rsidR="009B12C0">
        <w:t>MN is not required</w:t>
      </w:r>
      <w:r w:rsidR="001321AE">
        <w:t>’’</w:t>
      </w:r>
      <w:r w:rsidR="009B12C0">
        <w:t xml:space="preserve"> means in practice the MN can act either way). </w:t>
      </w:r>
    </w:p>
    <w:p w14:paraId="24F4FE95" w14:textId="77777777" w:rsidR="001321AE" w:rsidRPr="001321AE" w:rsidRDefault="009B12C0" w:rsidP="001321AE">
      <w:pPr>
        <w:jc w:val="both"/>
        <w:rPr>
          <w:b/>
          <w:bCs/>
        </w:rPr>
      </w:pPr>
      <w:r w:rsidRPr="001321AE">
        <w:rPr>
          <w:b/>
          <w:bCs/>
        </w:rPr>
        <w:t xml:space="preserve">Observation 3: </w:t>
      </w:r>
      <w:r w:rsidR="001321AE" w:rsidRPr="001321AE">
        <w:rPr>
          <w:b/>
          <w:bCs/>
        </w:rPr>
        <w:t>MN is allowed to send the execution condition(s) to other involved entities, regardless of the CPAC scenario.</w:t>
      </w:r>
    </w:p>
    <w:p w14:paraId="6DF54770" w14:textId="77777777" w:rsidR="001321AE" w:rsidRDefault="001321AE" w:rsidP="001321AE">
      <w:pPr>
        <w:jc w:val="both"/>
      </w:pPr>
      <w:r>
        <w:t>Irrespective of what is concluded on P2, we suggest RAN2 decides to adopt the Alternative 1 approach.</w:t>
      </w:r>
    </w:p>
    <w:p w14:paraId="39241D95" w14:textId="37458EF7" w:rsidR="001321AE" w:rsidRPr="001321AE" w:rsidRDefault="001321AE" w:rsidP="001321AE">
      <w:pPr>
        <w:jc w:val="both"/>
        <w:rPr>
          <w:b/>
          <w:bCs/>
        </w:rPr>
      </w:pPr>
      <w:r w:rsidRPr="001321AE">
        <w:rPr>
          <w:b/>
          <w:bCs/>
        </w:rPr>
        <w:t xml:space="preserve">Proposal 3: For CPAC the MN performs the association between the execution condition received from the source SN and the RRC configuration of the candidate </w:t>
      </w:r>
      <w:proofErr w:type="spellStart"/>
      <w:r w:rsidRPr="001321AE">
        <w:rPr>
          <w:b/>
          <w:bCs/>
        </w:rPr>
        <w:t>PSCell</w:t>
      </w:r>
      <w:proofErr w:type="spellEnd"/>
      <w:r w:rsidRPr="001321AE">
        <w:rPr>
          <w:b/>
          <w:bCs/>
        </w:rPr>
        <w:t xml:space="preserve"> received from the candidate target SN.</w:t>
      </w:r>
      <w:r w:rsidR="000365E6" w:rsidRPr="001321AE">
        <w:rPr>
          <w:b/>
          <w:bCs/>
        </w:rPr>
        <w:br/>
      </w:r>
      <w:r>
        <w:rPr>
          <w:b/>
          <w:bCs/>
        </w:rPr>
        <w:br/>
      </w:r>
      <w:r w:rsidRPr="001321AE">
        <w:t>If the aforementioned aspects are concluded at RAN2#114, we would be happy to provide the response LS to RAN3.</w:t>
      </w:r>
    </w:p>
    <w:p w14:paraId="5FF2457F" w14:textId="1035A497" w:rsidR="00A209D6" w:rsidRPr="006E13D1" w:rsidRDefault="00F44B93" w:rsidP="001321AE">
      <w:pPr>
        <w:pStyle w:val="Heading1"/>
        <w:jc w:val="both"/>
      </w:pPr>
      <w:r>
        <w:t>3</w:t>
      </w:r>
      <w:r w:rsidR="00A209D6" w:rsidRPr="006E13D1">
        <w:tab/>
      </w:r>
      <w:r w:rsidR="008C3057">
        <w:t>Conclusion</w:t>
      </w:r>
    </w:p>
    <w:p w14:paraId="6C60FFDC" w14:textId="7A9D33E7" w:rsidR="00340F83" w:rsidRDefault="00340F83" w:rsidP="001321AE">
      <w:pPr>
        <w:jc w:val="both"/>
      </w:pPr>
      <w:r>
        <w:t xml:space="preserve">This paper provided our view regarding the </w:t>
      </w:r>
      <w:r w:rsidR="00A43C51">
        <w:t>RAN3 LS, sent in R3-211338. The following observations and proposals have been made:</w:t>
      </w:r>
    </w:p>
    <w:p w14:paraId="2C8A68EE" w14:textId="77777777" w:rsidR="00496870" w:rsidRPr="008005ED" w:rsidRDefault="00496870" w:rsidP="00496870">
      <w:pPr>
        <w:jc w:val="both"/>
        <w:rPr>
          <w:b/>
          <w:bCs/>
        </w:rPr>
      </w:pPr>
      <w:r w:rsidRPr="008005ED">
        <w:rPr>
          <w:b/>
          <w:bCs/>
        </w:rPr>
        <w:t>Observation 1:</w:t>
      </w:r>
      <w:r>
        <w:rPr>
          <w:b/>
          <w:bCs/>
        </w:rPr>
        <w:t xml:space="preserve"> </w:t>
      </w:r>
      <w:r w:rsidRPr="008005ED">
        <w:rPr>
          <w:b/>
          <w:bCs/>
        </w:rPr>
        <w:t>U</w:t>
      </w:r>
      <w:r>
        <w:rPr>
          <w:b/>
          <w:bCs/>
        </w:rPr>
        <w:t>s</w:t>
      </w:r>
      <w:r w:rsidRPr="008005ED">
        <w:rPr>
          <w:b/>
          <w:bCs/>
        </w:rPr>
        <w:t>ing separate containers for each CPC configuration is more flexible and follows the legacy conditional reconfiguration principles, where identifier links the condition and the container with the configuration to be applied if the condition is fulfilled.</w:t>
      </w:r>
    </w:p>
    <w:p w14:paraId="6D3189BF" w14:textId="77777777" w:rsidR="00496870" w:rsidRPr="008005ED" w:rsidRDefault="00496870" w:rsidP="00496870">
      <w:pPr>
        <w:jc w:val="both"/>
        <w:rPr>
          <w:b/>
          <w:bCs/>
        </w:rPr>
      </w:pPr>
      <w:r w:rsidRPr="008005ED">
        <w:rPr>
          <w:b/>
          <w:bCs/>
        </w:rPr>
        <w:t xml:space="preserve">Proposal 1: RAN2 concludes that in case multiple </w:t>
      </w:r>
      <w:proofErr w:type="spellStart"/>
      <w:r w:rsidRPr="008005ED">
        <w:rPr>
          <w:b/>
          <w:bCs/>
        </w:rPr>
        <w:t>PSCells</w:t>
      </w:r>
      <w:proofErr w:type="spellEnd"/>
      <w:r w:rsidRPr="008005ED">
        <w:rPr>
          <w:b/>
          <w:bCs/>
        </w:rPr>
        <w:t xml:space="preserve"> are prepared in one CPAC procedure, a separate RRC container is used for each </w:t>
      </w:r>
      <w:proofErr w:type="spellStart"/>
      <w:r w:rsidRPr="008005ED">
        <w:rPr>
          <w:b/>
          <w:bCs/>
        </w:rPr>
        <w:t>PSCell</w:t>
      </w:r>
      <w:proofErr w:type="spellEnd"/>
      <w:r w:rsidRPr="008005ED">
        <w:rPr>
          <w:b/>
          <w:bCs/>
        </w:rPr>
        <w:t xml:space="preserve"> configuration.</w:t>
      </w:r>
    </w:p>
    <w:p w14:paraId="30DAACC6" w14:textId="77777777" w:rsidR="00496870" w:rsidRPr="008D106C" w:rsidRDefault="00496870" w:rsidP="00496870">
      <w:pPr>
        <w:jc w:val="both"/>
        <w:rPr>
          <w:b/>
          <w:bCs/>
        </w:rPr>
      </w:pPr>
      <w:r w:rsidRPr="008D106C">
        <w:rPr>
          <w:b/>
          <w:bCs/>
        </w:rPr>
        <w:t xml:space="preserve">Observation 2: Alternative 2 from R3-211338 allows to avoid the case where the UE is provided </w:t>
      </w:r>
      <w:r>
        <w:rPr>
          <w:b/>
          <w:bCs/>
        </w:rPr>
        <w:t>with execution conditions for cells which are not accepted by the target SN.</w:t>
      </w:r>
    </w:p>
    <w:p w14:paraId="68754657" w14:textId="77777777" w:rsidR="00496870" w:rsidRPr="001321AE" w:rsidRDefault="00496870" w:rsidP="00496870">
      <w:pPr>
        <w:jc w:val="both"/>
        <w:rPr>
          <w:b/>
          <w:bCs/>
        </w:rPr>
      </w:pPr>
      <w:r w:rsidRPr="001321AE">
        <w:rPr>
          <w:b/>
          <w:bCs/>
        </w:rPr>
        <w:t xml:space="preserve">Proposal 2: RAN2 is asked to discuss and confirm if Alternative 1 from R3-211338 is equivalent to ‘’…the MN generates the conditional reconfiguration message including the execution condition(s) provided by the source SN and </w:t>
      </w:r>
      <w:proofErr w:type="spellStart"/>
      <w:r w:rsidRPr="001321AE">
        <w:rPr>
          <w:b/>
          <w:bCs/>
        </w:rPr>
        <w:t>RRCReconfiguration</w:t>
      </w:r>
      <w:proofErr w:type="spellEnd"/>
      <w:r w:rsidRPr="001321AE">
        <w:rPr>
          <w:b/>
          <w:bCs/>
        </w:rPr>
        <w:t xml:space="preserve"> provided by the candidate </w:t>
      </w:r>
      <w:proofErr w:type="spellStart"/>
      <w:r w:rsidRPr="001321AE">
        <w:rPr>
          <w:b/>
          <w:bCs/>
        </w:rPr>
        <w:t>PSCell</w:t>
      </w:r>
      <w:proofErr w:type="spellEnd"/>
      <w:r w:rsidRPr="001321AE">
        <w:rPr>
          <w:b/>
          <w:bCs/>
        </w:rPr>
        <w:t>…’’.</w:t>
      </w:r>
    </w:p>
    <w:p w14:paraId="07887FE5" w14:textId="23E15010" w:rsidR="00A43C51" w:rsidRDefault="00496870" w:rsidP="001321AE">
      <w:pPr>
        <w:jc w:val="both"/>
      </w:pPr>
      <w:r w:rsidRPr="001321AE">
        <w:rPr>
          <w:b/>
          <w:bCs/>
        </w:rPr>
        <w:t xml:space="preserve">Proposal 3: For CPAC the MN performs the association between the execution condition received from the source SN and the RRC configuration of the candidate </w:t>
      </w:r>
      <w:proofErr w:type="spellStart"/>
      <w:r w:rsidRPr="001321AE">
        <w:rPr>
          <w:b/>
          <w:bCs/>
        </w:rPr>
        <w:t>PSCell</w:t>
      </w:r>
      <w:proofErr w:type="spellEnd"/>
      <w:r w:rsidRPr="001321AE">
        <w:rPr>
          <w:b/>
          <w:bCs/>
        </w:rPr>
        <w:t xml:space="preserve"> received from the candidate target SN.</w:t>
      </w:r>
    </w:p>
    <w:p w14:paraId="7E4737B4" w14:textId="2C12E475" w:rsidR="0024282A" w:rsidRDefault="0024282A" w:rsidP="001321AE">
      <w:pPr>
        <w:pStyle w:val="Heading1"/>
        <w:jc w:val="both"/>
      </w:pPr>
      <w:r>
        <w:lastRenderedPageBreak/>
        <w:t>References</w:t>
      </w:r>
    </w:p>
    <w:p w14:paraId="7FB87EC8" w14:textId="4501FC7C" w:rsidR="000C6772" w:rsidRDefault="0024282A" w:rsidP="001321AE">
      <w:pPr>
        <w:jc w:val="both"/>
      </w:pPr>
      <w:r>
        <w:t xml:space="preserve">[1] </w:t>
      </w:r>
      <w:r w:rsidR="009213BB">
        <w:t xml:space="preserve">R3-211338 </w:t>
      </w:r>
      <w:r w:rsidR="009213BB" w:rsidRPr="009213BB">
        <w:rPr>
          <w:i/>
          <w:iCs/>
        </w:rPr>
        <w:t xml:space="preserve">Reply LS on Conditional </w:t>
      </w:r>
      <w:proofErr w:type="spellStart"/>
      <w:r w:rsidR="009213BB" w:rsidRPr="009213BB">
        <w:rPr>
          <w:i/>
          <w:iCs/>
        </w:rPr>
        <w:t>PSCell</w:t>
      </w:r>
      <w:proofErr w:type="spellEnd"/>
      <w:r w:rsidR="009213BB" w:rsidRPr="009213BB">
        <w:rPr>
          <w:i/>
          <w:iCs/>
        </w:rPr>
        <w:t xml:space="preserve"> Addition/Change agreements</w:t>
      </w:r>
      <w:r w:rsidR="009213BB">
        <w:t xml:space="preserve"> 3GPP TSG RAN WG3 #111-e Online, January 25th – February 4th</w:t>
      </w:r>
      <w:proofErr w:type="gramStart"/>
      <w:r w:rsidR="009213BB">
        <w:t xml:space="preserve"> 2021</w:t>
      </w:r>
      <w:proofErr w:type="gramEnd"/>
    </w:p>
    <w:p w14:paraId="783FF3C4" w14:textId="6D5CA235" w:rsidR="008A24D2" w:rsidRDefault="008A24D2" w:rsidP="001321AE">
      <w:pPr>
        <w:jc w:val="both"/>
      </w:pPr>
      <w:r>
        <w:t xml:space="preserve">[2] </w:t>
      </w:r>
      <w:r w:rsidRPr="008A24D2">
        <w:t>R2-2010701</w:t>
      </w:r>
      <w:r>
        <w:t xml:space="preserve"> </w:t>
      </w:r>
      <w:r w:rsidRPr="008A24D2">
        <w:rPr>
          <w:i/>
          <w:iCs/>
        </w:rPr>
        <w:t>Report on LTE legacy, Mobility, DCCA, Multi-SIM and RAN slicing</w:t>
      </w:r>
      <w:r>
        <w:t xml:space="preserve"> 3GPP TSG-RAN WG2 Meeting #112 electronic Online, 2 – 13 November 2020</w:t>
      </w:r>
    </w:p>
    <w:p w14:paraId="4EE3850F" w14:textId="77777777" w:rsidR="0077564E" w:rsidRPr="0024282A" w:rsidRDefault="0077564E" w:rsidP="001321AE">
      <w:pPr>
        <w:jc w:val="both"/>
      </w:pPr>
    </w:p>
    <w:sectPr w:rsidR="0077564E" w:rsidRPr="002428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6B1BB" w14:textId="77777777" w:rsidR="002E0EA4" w:rsidRDefault="002E0EA4">
      <w:r>
        <w:separator/>
      </w:r>
    </w:p>
  </w:endnote>
  <w:endnote w:type="continuationSeparator" w:id="0">
    <w:p w14:paraId="5E866C26" w14:textId="77777777" w:rsidR="002E0EA4" w:rsidRDefault="002E0EA4">
      <w:r>
        <w:continuationSeparator/>
      </w:r>
    </w:p>
  </w:endnote>
  <w:endnote w:type="continuationNotice" w:id="1">
    <w:p w14:paraId="3F7C608E" w14:textId="77777777" w:rsidR="002E0EA4" w:rsidRDefault="002E0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0D2C4" w14:textId="77777777" w:rsidR="002E0EA4" w:rsidRDefault="002E0EA4">
      <w:r>
        <w:separator/>
      </w:r>
    </w:p>
  </w:footnote>
  <w:footnote w:type="continuationSeparator" w:id="0">
    <w:p w14:paraId="3B74DBDC" w14:textId="77777777" w:rsidR="002E0EA4" w:rsidRDefault="002E0EA4">
      <w:r>
        <w:continuationSeparator/>
      </w:r>
    </w:p>
  </w:footnote>
  <w:footnote w:type="continuationNotice" w:id="1">
    <w:p w14:paraId="20F36E23" w14:textId="77777777" w:rsidR="002E0EA4" w:rsidRDefault="002E0E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6138C"/>
    <w:multiLevelType w:val="hybridMultilevel"/>
    <w:tmpl w:val="49F46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3D03677"/>
    <w:multiLevelType w:val="hybridMultilevel"/>
    <w:tmpl w:val="5ACA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2C"/>
    <w:rsid w:val="00007286"/>
    <w:rsid w:val="00016557"/>
    <w:rsid w:val="00023C40"/>
    <w:rsid w:val="00033397"/>
    <w:rsid w:val="000365E6"/>
    <w:rsid w:val="00040095"/>
    <w:rsid w:val="00051099"/>
    <w:rsid w:val="00065268"/>
    <w:rsid w:val="00073C9C"/>
    <w:rsid w:val="00080512"/>
    <w:rsid w:val="00090468"/>
    <w:rsid w:val="00094568"/>
    <w:rsid w:val="000B7BCF"/>
    <w:rsid w:val="000C522B"/>
    <w:rsid w:val="000C6772"/>
    <w:rsid w:val="000D58AB"/>
    <w:rsid w:val="00112F1A"/>
    <w:rsid w:val="001321AE"/>
    <w:rsid w:val="00145075"/>
    <w:rsid w:val="001741A0"/>
    <w:rsid w:val="0017597D"/>
    <w:rsid w:val="00175FA0"/>
    <w:rsid w:val="00194CD0"/>
    <w:rsid w:val="001B49C9"/>
    <w:rsid w:val="001C23F4"/>
    <w:rsid w:val="001C4F79"/>
    <w:rsid w:val="001D17CC"/>
    <w:rsid w:val="001F168B"/>
    <w:rsid w:val="001F7831"/>
    <w:rsid w:val="00204045"/>
    <w:rsid w:val="00206562"/>
    <w:rsid w:val="0020712B"/>
    <w:rsid w:val="0022606D"/>
    <w:rsid w:val="00231728"/>
    <w:rsid w:val="0024282A"/>
    <w:rsid w:val="00244A05"/>
    <w:rsid w:val="00250404"/>
    <w:rsid w:val="002610D8"/>
    <w:rsid w:val="002747EC"/>
    <w:rsid w:val="002855BF"/>
    <w:rsid w:val="002B5430"/>
    <w:rsid w:val="002C2927"/>
    <w:rsid w:val="002E0EA4"/>
    <w:rsid w:val="002F0D22"/>
    <w:rsid w:val="00311B17"/>
    <w:rsid w:val="003172DC"/>
    <w:rsid w:val="00325AE3"/>
    <w:rsid w:val="00326069"/>
    <w:rsid w:val="00340F83"/>
    <w:rsid w:val="0035462D"/>
    <w:rsid w:val="0036459E"/>
    <w:rsid w:val="00364B41"/>
    <w:rsid w:val="00383096"/>
    <w:rsid w:val="0039346C"/>
    <w:rsid w:val="003949AE"/>
    <w:rsid w:val="003A41EF"/>
    <w:rsid w:val="003B40AD"/>
    <w:rsid w:val="003C4045"/>
    <w:rsid w:val="003C4E37"/>
    <w:rsid w:val="003E16BE"/>
    <w:rsid w:val="003F4E28"/>
    <w:rsid w:val="003F5BE2"/>
    <w:rsid w:val="004006E8"/>
    <w:rsid w:val="00401855"/>
    <w:rsid w:val="00436865"/>
    <w:rsid w:val="00446D87"/>
    <w:rsid w:val="00465587"/>
    <w:rsid w:val="00477455"/>
    <w:rsid w:val="00496870"/>
    <w:rsid w:val="00496FA8"/>
    <w:rsid w:val="004A154C"/>
    <w:rsid w:val="004A1F7B"/>
    <w:rsid w:val="004B78B5"/>
    <w:rsid w:val="004C44D2"/>
    <w:rsid w:val="004C4717"/>
    <w:rsid w:val="004C75E0"/>
    <w:rsid w:val="004D3578"/>
    <w:rsid w:val="004D380D"/>
    <w:rsid w:val="004E213A"/>
    <w:rsid w:val="004F2733"/>
    <w:rsid w:val="004F4540"/>
    <w:rsid w:val="004F73A7"/>
    <w:rsid w:val="00503171"/>
    <w:rsid w:val="00504BD8"/>
    <w:rsid w:val="00506C28"/>
    <w:rsid w:val="00534DA0"/>
    <w:rsid w:val="00543E6C"/>
    <w:rsid w:val="00565087"/>
    <w:rsid w:val="0056573F"/>
    <w:rsid w:val="00571279"/>
    <w:rsid w:val="005A49C6"/>
    <w:rsid w:val="005B10B8"/>
    <w:rsid w:val="00611566"/>
    <w:rsid w:val="00646D99"/>
    <w:rsid w:val="00656910"/>
    <w:rsid w:val="006574C0"/>
    <w:rsid w:val="00696821"/>
    <w:rsid w:val="006C66D8"/>
    <w:rsid w:val="006C6C6B"/>
    <w:rsid w:val="006D1E24"/>
    <w:rsid w:val="006D34EC"/>
    <w:rsid w:val="006D35DE"/>
    <w:rsid w:val="006E1057"/>
    <w:rsid w:val="006E1417"/>
    <w:rsid w:val="006F6A2C"/>
    <w:rsid w:val="00705A46"/>
    <w:rsid w:val="007069DC"/>
    <w:rsid w:val="00710201"/>
    <w:rsid w:val="0072073A"/>
    <w:rsid w:val="007342B5"/>
    <w:rsid w:val="00734A5B"/>
    <w:rsid w:val="00744E76"/>
    <w:rsid w:val="00757D40"/>
    <w:rsid w:val="007662B5"/>
    <w:rsid w:val="0077564E"/>
    <w:rsid w:val="00781F0F"/>
    <w:rsid w:val="0078727C"/>
    <w:rsid w:val="0079049D"/>
    <w:rsid w:val="00793DC5"/>
    <w:rsid w:val="00796823"/>
    <w:rsid w:val="007A2E55"/>
    <w:rsid w:val="007A7E07"/>
    <w:rsid w:val="007B18D8"/>
    <w:rsid w:val="007C095F"/>
    <w:rsid w:val="007C2DD0"/>
    <w:rsid w:val="007F2E08"/>
    <w:rsid w:val="008005ED"/>
    <w:rsid w:val="008028A4"/>
    <w:rsid w:val="00813245"/>
    <w:rsid w:val="00840DE0"/>
    <w:rsid w:val="008607A8"/>
    <w:rsid w:val="0086354A"/>
    <w:rsid w:val="008718CA"/>
    <w:rsid w:val="008768CA"/>
    <w:rsid w:val="00877EF9"/>
    <w:rsid w:val="00880559"/>
    <w:rsid w:val="00891BE0"/>
    <w:rsid w:val="008A1C2B"/>
    <w:rsid w:val="008A24D2"/>
    <w:rsid w:val="008B5306"/>
    <w:rsid w:val="008C2E2A"/>
    <w:rsid w:val="008C3057"/>
    <w:rsid w:val="008D106C"/>
    <w:rsid w:val="008D2E4D"/>
    <w:rsid w:val="008F396F"/>
    <w:rsid w:val="008F3DCD"/>
    <w:rsid w:val="0090271F"/>
    <w:rsid w:val="00902DB9"/>
    <w:rsid w:val="0090466A"/>
    <w:rsid w:val="009213BB"/>
    <w:rsid w:val="00923655"/>
    <w:rsid w:val="00936071"/>
    <w:rsid w:val="009376CD"/>
    <w:rsid w:val="00940212"/>
    <w:rsid w:val="00942EC2"/>
    <w:rsid w:val="00961B32"/>
    <w:rsid w:val="00962509"/>
    <w:rsid w:val="00970DB3"/>
    <w:rsid w:val="00974BB0"/>
    <w:rsid w:val="00975BCD"/>
    <w:rsid w:val="009862EB"/>
    <w:rsid w:val="009928A9"/>
    <w:rsid w:val="009A0AF3"/>
    <w:rsid w:val="009B07CD"/>
    <w:rsid w:val="009B12C0"/>
    <w:rsid w:val="009C19E9"/>
    <w:rsid w:val="009D74A6"/>
    <w:rsid w:val="009E0E87"/>
    <w:rsid w:val="009F377A"/>
    <w:rsid w:val="00A10F02"/>
    <w:rsid w:val="00A204CA"/>
    <w:rsid w:val="00A209D6"/>
    <w:rsid w:val="00A22738"/>
    <w:rsid w:val="00A430EC"/>
    <w:rsid w:val="00A43C51"/>
    <w:rsid w:val="00A53724"/>
    <w:rsid w:val="00A54B2B"/>
    <w:rsid w:val="00A82346"/>
    <w:rsid w:val="00A9671C"/>
    <w:rsid w:val="00AA1553"/>
    <w:rsid w:val="00AD07A9"/>
    <w:rsid w:val="00B00EBA"/>
    <w:rsid w:val="00B05380"/>
    <w:rsid w:val="00B05962"/>
    <w:rsid w:val="00B15449"/>
    <w:rsid w:val="00B16C2F"/>
    <w:rsid w:val="00B172E8"/>
    <w:rsid w:val="00B27303"/>
    <w:rsid w:val="00B47FD1"/>
    <w:rsid w:val="00B516BB"/>
    <w:rsid w:val="00B7538C"/>
    <w:rsid w:val="00B84DB2"/>
    <w:rsid w:val="00B86708"/>
    <w:rsid w:val="00B90E7A"/>
    <w:rsid w:val="00BB6E19"/>
    <w:rsid w:val="00BC2FC3"/>
    <w:rsid w:val="00BC3555"/>
    <w:rsid w:val="00BD6943"/>
    <w:rsid w:val="00BF2F33"/>
    <w:rsid w:val="00C12B51"/>
    <w:rsid w:val="00C24650"/>
    <w:rsid w:val="00C25465"/>
    <w:rsid w:val="00C33079"/>
    <w:rsid w:val="00C34C4F"/>
    <w:rsid w:val="00C55A12"/>
    <w:rsid w:val="00C6553E"/>
    <w:rsid w:val="00C83A13"/>
    <w:rsid w:val="00C86F10"/>
    <w:rsid w:val="00C9068C"/>
    <w:rsid w:val="00C92967"/>
    <w:rsid w:val="00CA3D0C"/>
    <w:rsid w:val="00CA654B"/>
    <w:rsid w:val="00CB72B8"/>
    <w:rsid w:val="00CC2D4A"/>
    <w:rsid w:val="00CD0BA8"/>
    <w:rsid w:val="00CD4C7B"/>
    <w:rsid w:val="00CD58FE"/>
    <w:rsid w:val="00CE28F5"/>
    <w:rsid w:val="00D17ED6"/>
    <w:rsid w:val="00D22CB9"/>
    <w:rsid w:val="00D33BE3"/>
    <w:rsid w:val="00D3792D"/>
    <w:rsid w:val="00D55E47"/>
    <w:rsid w:val="00D62E19"/>
    <w:rsid w:val="00D64195"/>
    <w:rsid w:val="00D67CD1"/>
    <w:rsid w:val="00D738D6"/>
    <w:rsid w:val="00D80795"/>
    <w:rsid w:val="00D854BE"/>
    <w:rsid w:val="00D87E00"/>
    <w:rsid w:val="00D9134D"/>
    <w:rsid w:val="00D96D11"/>
    <w:rsid w:val="00DA13BE"/>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1106"/>
    <w:rsid w:val="00EC4A25"/>
    <w:rsid w:val="00ED3A62"/>
    <w:rsid w:val="00ED6D83"/>
    <w:rsid w:val="00EF612C"/>
    <w:rsid w:val="00F025A2"/>
    <w:rsid w:val="00F036E9"/>
    <w:rsid w:val="00F07388"/>
    <w:rsid w:val="00F2026E"/>
    <w:rsid w:val="00F2210A"/>
    <w:rsid w:val="00F31372"/>
    <w:rsid w:val="00F37743"/>
    <w:rsid w:val="00F44B93"/>
    <w:rsid w:val="00F46768"/>
    <w:rsid w:val="00F54A3D"/>
    <w:rsid w:val="00F54CB0"/>
    <w:rsid w:val="00F579CD"/>
    <w:rsid w:val="00F653B8"/>
    <w:rsid w:val="00F71B89"/>
    <w:rsid w:val="00F7353C"/>
    <w:rsid w:val="00F76F8F"/>
    <w:rsid w:val="00F941DF"/>
    <w:rsid w:val="00FA1266"/>
    <w:rsid w:val="00FB36FA"/>
    <w:rsid w:val="00FC1192"/>
    <w:rsid w:val="00FD2CF6"/>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2D4A"/>
    <w:pPr>
      <w:ind w:left="720"/>
      <w:contextualSpacing/>
    </w:pPr>
  </w:style>
  <w:style w:type="character" w:styleId="CommentReference">
    <w:name w:val="annotation reference"/>
    <w:basedOn w:val="DefaultParagraphFont"/>
    <w:rsid w:val="00340F83"/>
    <w:rPr>
      <w:sz w:val="16"/>
      <w:szCs w:val="16"/>
    </w:rPr>
  </w:style>
  <w:style w:type="paragraph" w:styleId="CommentText">
    <w:name w:val="annotation text"/>
    <w:basedOn w:val="Normal"/>
    <w:link w:val="CommentTextChar"/>
    <w:rsid w:val="00340F83"/>
  </w:style>
  <w:style w:type="character" w:customStyle="1" w:styleId="CommentTextChar">
    <w:name w:val="Comment Text Char"/>
    <w:basedOn w:val="DefaultParagraphFont"/>
    <w:link w:val="CommentText"/>
    <w:rsid w:val="00340F83"/>
    <w:rPr>
      <w:lang w:eastAsia="en-US"/>
    </w:rPr>
  </w:style>
  <w:style w:type="paragraph" w:styleId="CommentSubject">
    <w:name w:val="annotation subject"/>
    <w:basedOn w:val="CommentText"/>
    <w:next w:val="CommentText"/>
    <w:link w:val="CommentSubjectChar"/>
    <w:rsid w:val="00340F83"/>
    <w:rPr>
      <w:b/>
      <w:bCs/>
    </w:rPr>
  </w:style>
  <w:style w:type="character" w:customStyle="1" w:styleId="CommentSubjectChar">
    <w:name w:val="Comment Subject Char"/>
    <w:basedOn w:val="CommentTextChar"/>
    <w:link w:val="CommentSubject"/>
    <w:rsid w:val="00340F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5AIRPNAIUNRU-859666464-8815</_dlc_DocId>
    <_dlc_DocIdUrl xmlns="71c5aaf6-e6ce-465b-b873-5148d2a4c105">
      <Url>https://nokia.sharepoint.com/sites/c5g/e2earch/_layouts/15/DocIdRedir.aspx?ID=5AIRPNAIUNRU-859666464-8815</Url>
      <Description>5AIRPNAIUNRU-859666464-8815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3</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62</cp:revision>
  <dcterms:created xsi:type="dcterms:W3CDTF">2021-04-28T10:36:00Z</dcterms:created>
  <dcterms:modified xsi:type="dcterms:W3CDTF">2021-05-10T15:21:00Z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b3630a75-caf7-40ea-b7e8-67fe013b4cec</vt:lpwstr>
  </property>
</Properties>
</file>